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9kato9bipmk0" w:id="0"/>
      <w:bookmarkEnd w:id="0"/>
      <w:r w:rsidDel="00000000" w:rsidR="00000000" w:rsidRPr="00000000">
        <w:rPr>
          <w:rtl w:val="0"/>
        </w:rPr>
        <w:t xml:space="preserve">Week 15 20230610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신한은행 ESG 사례연구 및 특강</w:t>
      </w:r>
    </w:p>
    <w:p w:rsidR="00000000" w:rsidDel="00000000" w:rsidP="00000000" w:rsidRDefault="00000000" w:rsidRPr="00000000" w14:paraId="00000007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What does the perfect carbon price look like? (economist.com)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Preview: 230605 정준혁_자기주식 제도의 현황과 개선 과제.pdf (kif.re.kr)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Activist investors are needed more than ever (economist.com)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Why activist investors are going to have a busy year (economist.com)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Carl Icahn, an activist investor, owns a 1.4% stake in Illumina, a genomics giant with a market value of $34 billion.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Icahn aims to exert considerable influence despite his relatively small stake and has nominated three directors to Illumina's board.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The battle between Icahn and Illumina's management will reach a climax at the annual general meeting.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Activist funds faced losses in the previous year, but expectations for a strong activist season were not met.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New corporate governance rules have made it easier for dissident investors to obtain board seats.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Targets of activism have sought truces to avoid proxy battles, resulting in wins for the activists.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Activists are attracted to companies that lack discipline and could benefit from their intervention.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Activists are targeting larger companies, including technology firms, where they can force cost-cutting or shedding unprofitable businesses.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Even the biggest tech companies are not safe from activists, as demonstrated by recent investments in Alphabet (Google's parent company).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American activists are expanding their reach globally, engaging with shareholders in Europe, Asia, and Japan.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Activists in Japan are finding more receptive companies due to corporate governance reforms.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Activists do not always succeed, as seen in ValueAct's loss in a proxy battle for the board of Seven &amp; i, a Japanese conglomerate.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Carl Icahn himself became the target of an activist attack by Hindenburg Research, claiming his listed vehicle, Icahn Enterprises, is overvalued.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Icahn defended his investment style, arguing that activists breach the walls of poorly run companies.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conomist.com/business/2023/05/25/why-activist-investors-are-going-to-have-a-busy-yea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economist.com/finance-and-economics/2023/06/01/what-does-the-perfect-carbon-price-look-like" TargetMode="External"/><Relationship Id="rId7" Type="http://schemas.openxmlformats.org/officeDocument/2006/relationships/hyperlink" Target="https://vwserver.kif.re.kr/flexer/viewer.jsp?dir=evp&amp;mid=30&amp;cno=321860&amp;fk=2023005684AK&amp;ft=0&amp;ftype=pdf" TargetMode="External"/><Relationship Id="rId8" Type="http://schemas.openxmlformats.org/officeDocument/2006/relationships/hyperlink" Target="https://www.economist.com/leaders/2023/05/24/activist-investors-are-needed-more-than-eve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